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00" w:rsidRDefault="00545882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5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TITOLO</w:t>
      </w:r>
      <w:r w:rsidRPr="00C16251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DE7DFF" w:rsidRPr="00DE7D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I</w:t>
      </w:r>
      <w:r w:rsidR="00DA4200" w:rsidRPr="008841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ntelligenza </w:t>
      </w:r>
      <w:r w:rsidR="00AA1FC7">
        <w:rPr>
          <w:rFonts w:ascii="Times New Roman" w:hAnsi="Times New Roman" w:cs="Times New Roman"/>
          <w:i/>
          <w:iCs/>
          <w:color w:val="000000"/>
          <w:sz w:val="20"/>
          <w:szCs w:val="20"/>
        </w:rPr>
        <w:t>a</w:t>
      </w:r>
      <w:r w:rsidR="00AA1FC7" w:rsidRPr="008841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rtificiale </w:t>
      </w:r>
      <w:r w:rsidR="00246FB1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per il</w:t>
      </w:r>
      <w:r w:rsidR="00AA1FC7">
        <w:rPr>
          <w:rFonts w:ascii="Times New Roman" w:hAnsi="Times New Roman" w:cs="Times New Roman"/>
          <w:i/>
          <w:iCs/>
          <w:color w:val="000000"/>
          <w:sz w:val="20"/>
          <w:szCs w:val="20"/>
        </w:rPr>
        <w:t>monitoraggio delle</w:t>
      </w:r>
      <w:r w:rsidR="00DA4200" w:rsidRPr="008841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infezioni </w:t>
      </w:r>
      <w:r w:rsidR="0088414D" w:rsidRPr="008841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</w:t>
      </w:r>
      <w:r w:rsidR="00DA4200" w:rsidRPr="008841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sito chirurgico </w:t>
      </w:r>
      <w:r w:rsidR="0052113E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intraospedaliere</w:t>
      </w:r>
    </w:p>
    <w:p w:rsidR="00545882" w:rsidRPr="00C16251" w:rsidRDefault="00545882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545882" w:rsidRPr="00870275" w:rsidRDefault="002E6A0A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</w:pPr>
      <w:r w:rsidRPr="00CB75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NOMI AUTORI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C16251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Zotti N</w:t>
      </w:r>
      <w:r w:rsidR="004E4717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121511" w:rsidRPr="00022BD2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="00C16251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Di Serafino F</w:t>
      </w:r>
      <w:r w:rsidR="004E4717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121511" w:rsidRPr="00022BD2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="00C16251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DA4200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Geminale G.</w:t>
      </w:r>
      <w:r w:rsidR="00DA4200" w:rsidRPr="00022BD2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1</w:t>
      </w:r>
      <w:r w:rsidR="00870275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</w:t>
      </w:r>
      <w:r w:rsidR="00DA4200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proofErr w:type="spellStart"/>
      <w:r w:rsidR="00870275">
        <w:rPr>
          <w:rFonts w:ascii="Times New Roman" w:hAnsi="Times New Roman" w:cs="Times New Roman"/>
          <w:i/>
          <w:iCs/>
          <w:color w:val="000000"/>
          <w:sz w:val="20"/>
          <w:szCs w:val="20"/>
        </w:rPr>
        <w:t>Civitelli</w:t>
      </w:r>
      <w:proofErr w:type="spellEnd"/>
      <w:r w:rsidR="0087027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S. </w:t>
      </w:r>
      <w:r w:rsidR="00870275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="0087027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DA4200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C16251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De Angelis </w:t>
      </w:r>
      <w:r w:rsidR="004E4717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L.</w:t>
      </w:r>
      <w:r w:rsidR="00121511" w:rsidRPr="00022BD2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="00C16251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88414D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Baglivo F.</w:t>
      </w:r>
      <w:r w:rsidR="0088414D" w:rsidRPr="00022BD2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="0088414D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A95A3F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Baggiani</w:t>
      </w:r>
      <w:r w:rsidR="00DE7DFF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A.</w:t>
      </w:r>
      <w:r w:rsidR="00DE7DFF" w:rsidRPr="00022BD2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="00B55F4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,8</w:t>
      </w:r>
      <w:r w:rsidR="00A95A3F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Cristofano</w:t>
      </w:r>
      <w:r w:rsidR="00DE7DFF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M.</w:t>
      </w:r>
      <w:r w:rsidR="00B55F4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3</w:t>
      </w:r>
      <w:r w:rsidR="00A95A3F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Gemignani</w:t>
      </w:r>
      <w:r w:rsidR="00DE7DFF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G.</w:t>
      </w:r>
      <w:r w:rsidR="00B55F4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4</w:t>
      </w:r>
      <w:r w:rsidR="00A95A3F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Luchini</w:t>
      </w:r>
      <w:r w:rsidR="00DE7DFF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G.</w:t>
      </w:r>
      <w:r w:rsidR="00B55F4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5</w:t>
      </w:r>
      <w:r w:rsidR="00A95A3F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AF2D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Briani S.</w:t>
      </w:r>
      <w:r w:rsidR="00B55F4A" w:rsidRPr="00B55F4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6</w:t>
      </w:r>
      <w:r w:rsidR="00AF2DF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="00C16251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Rizzo C</w:t>
      </w:r>
      <w:r w:rsidR="004E4717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="00B55F4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7</w:t>
      </w:r>
    </w:p>
    <w:p w:rsidR="00C16251" w:rsidRPr="00C16251" w:rsidRDefault="00C16251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442871" w:rsidRPr="005D31F6" w:rsidRDefault="00022BD2" w:rsidP="00C1625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5D31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CARICA E STRUTTURA DI APPARTENENZA AUTORI</w:t>
      </w:r>
      <w:r w:rsidRPr="005D31F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C16251" w:rsidRPr="005D31F6" w:rsidRDefault="00121511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D31F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="00B55F4A" w:rsidRPr="005D31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Medico in Formazione Specialistica, Scuola di Specializzazione in Igiene e Medicina Preventiva, Università di Pisa</w:t>
      </w:r>
    </w:p>
    <w:p w:rsidR="005D31F6" w:rsidRPr="005D31F6" w:rsidRDefault="005D31F6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D31F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Pr="005D31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Direttore U.O. Igiene ed Epidemiologia, Azienda Ospedaliero-Universitaria Pisana</w:t>
      </w:r>
    </w:p>
    <w:p w:rsidR="00B55F4A" w:rsidRPr="005D31F6" w:rsidRDefault="00B55F4A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D31F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3</w:t>
      </w:r>
      <w:r w:rsidR="005D31F6" w:rsidRPr="005D31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Dirigente Medico U.O. Organizzazione Servizi Ospedalieri, Azienda Ospedaliero-Universitaria Pisana</w:t>
      </w:r>
    </w:p>
    <w:p w:rsidR="00B55F4A" w:rsidRPr="005D31F6" w:rsidRDefault="00B55F4A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D31F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4</w:t>
      </w:r>
      <w:r w:rsidR="005D31F6" w:rsidRPr="005D31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Dirigente Medico Organizzazione Servizi Ospedalieri, Azienda Ospedaliero-Universitaria Pisana</w:t>
      </w:r>
    </w:p>
    <w:p w:rsidR="00B55F4A" w:rsidRPr="005D31F6" w:rsidRDefault="00B55F4A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D31F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5</w:t>
      </w:r>
      <w:r w:rsidR="005D31F6" w:rsidRPr="005D31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Direttore Sanitario, Azienda Ospedaliero-Universitaria Pisana</w:t>
      </w:r>
    </w:p>
    <w:p w:rsidR="00B55F4A" w:rsidRPr="005D31F6" w:rsidRDefault="00B55F4A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D31F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6</w:t>
      </w:r>
      <w:r w:rsidR="005D31F6" w:rsidRPr="005D31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Direttore Generale, Azienda Ospedaliero-Universitaria Pisana</w:t>
      </w:r>
    </w:p>
    <w:p w:rsidR="00B55F4A" w:rsidRPr="005D31F6" w:rsidRDefault="00B55F4A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D31F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7</w:t>
      </w:r>
      <w:r w:rsidR="005D31F6" w:rsidRPr="005D31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Professore Ordinario, Dipartimento di Ricerca Traslazionale e delle Nuove Tecnologie in Medicina e Chirurgia, Università di Pisa</w:t>
      </w:r>
    </w:p>
    <w:p w:rsidR="00B55F4A" w:rsidRPr="005D31F6" w:rsidRDefault="00B55F4A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D31F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8</w:t>
      </w:r>
      <w:r w:rsidR="005D31F6" w:rsidRPr="005D31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Professore Associato, Dipartimento di Ricerca Traslazionale e delle Nuove Tecnologie in Medicina e Chirurgia, Università di Pisa</w:t>
      </w:r>
    </w:p>
    <w:p w:rsidR="00022BD2" w:rsidRPr="00C16251" w:rsidRDefault="00022BD2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C16251" w:rsidRDefault="002E6A0A" w:rsidP="00C16251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5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PAROLE CHIAVE</w:t>
      </w:r>
      <w:r w:rsidRPr="002E6A0A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C1625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infezioni </w:t>
      </w:r>
      <w:r w:rsidR="008448F1">
        <w:rPr>
          <w:rFonts w:ascii="Times New Roman" w:hAnsi="Times New Roman" w:cs="Times New Roman"/>
          <w:i/>
          <w:iCs/>
          <w:color w:val="000000"/>
          <w:sz w:val="20"/>
          <w:szCs w:val="20"/>
        </w:rPr>
        <w:t>del sito chirurgico</w:t>
      </w:r>
      <w:r w:rsidR="00C162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intelligenza artificiale, lettere di dimissione</w:t>
      </w:r>
    </w:p>
    <w:p w:rsidR="00545882" w:rsidRPr="00121511" w:rsidRDefault="00545882" w:rsidP="00121511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16251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2E6A0A" w:rsidRPr="001215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INTRODUZIONE</w:t>
      </w:r>
    </w:p>
    <w:p w:rsidR="008C4C02" w:rsidRPr="008C4C02" w:rsidRDefault="008C4C02" w:rsidP="00D1374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C4C02">
        <w:rPr>
          <w:rFonts w:ascii="Times New Roman" w:hAnsi="Times New Roman" w:cs="Times New Roman"/>
          <w:color w:val="000000" w:themeColor="text1"/>
          <w:sz w:val="20"/>
          <w:szCs w:val="20"/>
        </w:rPr>
        <w:t>L’Intelligenza Artificiale (IA) è una tecnologia sempre più importante nel settore sanitario, con numerose applicazioni, tra cui il monitoraggio delle infezioni del sito chirurgico intraospedaliero (ISC). Queste infezioni possono causare problemi gravi ai pazienti e aumentare i costi sanitari, oltre che i contenziosi. L’IA può aiutare a identificare i pazienti a rischio, prevenire le infezioni e migliorare la gestione post-operatoria. Il nostro obiettivo è sviluppare un sistema di monitoraggio automatico delle ISC basato su dati intraospedalieri strutturati e non strutturati, incluse le Lettere di Dimissione Ospedaliera (LDO). Obiettivo secondario è sviluppare un algoritmo per la stratificazione del rischio dei pazienti con maggiore probabilità di sviluppare ISC.</w:t>
      </w:r>
    </w:p>
    <w:p w:rsidR="00D13741" w:rsidRDefault="00D13741" w:rsidP="00D1374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6161" w:rsidRPr="00D0540D" w:rsidRDefault="002E6A0A" w:rsidP="00FD3AE8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215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CONTENUTI</w:t>
      </w:r>
    </w:p>
    <w:p w:rsidR="009E4AFF" w:rsidRDefault="00546161" w:rsidP="00FD3AE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546161">
        <w:rPr>
          <w:rFonts w:ascii="Times New Roman" w:hAnsi="Times New Roman" w:cs="Times New Roman"/>
          <w:color w:val="000000"/>
          <w:sz w:val="20"/>
          <w:szCs w:val="20"/>
        </w:rPr>
        <w:t xml:space="preserve">n questo studio sono state </w:t>
      </w:r>
      <w:r>
        <w:rPr>
          <w:rFonts w:ascii="Times New Roman" w:hAnsi="Times New Roman" w:cs="Times New Roman"/>
          <w:color w:val="000000"/>
          <w:sz w:val="20"/>
          <w:szCs w:val="20"/>
        </w:rPr>
        <w:t>analizzate63.609</w:t>
      </w:r>
      <w:r w:rsidRPr="00546161">
        <w:rPr>
          <w:rFonts w:ascii="Times New Roman" w:hAnsi="Times New Roman" w:cs="Times New Roman"/>
          <w:color w:val="000000"/>
          <w:sz w:val="20"/>
          <w:szCs w:val="20"/>
        </w:rPr>
        <w:t xml:space="preserve"> LDO dell’Azienda Ospedaliero Universitaria Pisana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(AOUP)</w:t>
      </w:r>
      <w:r w:rsidRPr="00546161">
        <w:rPr>
          <w:rFonts w:ascii="Times New Roman" w:hAnsi="Times New Roman" w:cs="Times New Roman"/>
          <w:color w:val="000000"/>
          <w:sz w:val="20"/>
          <w:szCs w:val="20"/>
        </w:rPr>
        <w:t xml:space="preserve"> relative agli anni 2020 e 2021</w:t>
      </w:r>
      <w:r>
        <w:rPr>
          <w:rFonts w:ascii="Times New Roman" w:hAnsi="Times New Roman" w:cs="Times New Roman"/>
          <w:color w:val="000000"/>
          <w:sz w:val="20"/>
          <w:szCs w:val="20"/>
        </w:rPr>
        <w:t>. A</w:t>
      </w:r>
      <w:r w:rsidRPr="00546161">
        <w:rPr>
          <w:rFonts w:ascii="Times New Roman" w:hAnsi="Times New Roman" w:cs="Times New Roman"/>
          <w:color w:val="000000"/>
          <w:sz w:val="20"/>
          <w:szCs w:val="20"/>
        </w:rPr>
        <w:t xml:space="preserve">ttraverso un sistema di filtro semantico sono state estratte </w:t>
      </w:r>
      <w:r>
        <w:rPr>
          <w:rFonts w:ascii="Times New Roman" w:hAnsi="Times New Roman" w:cs="Times New Roman"/>
          <w:color w:val="000000"/>
          <w:sz w:val="20"/>
          <w:szCs w:val="20"/>
        </w:rPr>
        <w:t>22.625</w:t>
      </w:r>
      <w:r w:rsidRPr="00546161">
        <w:rPr>
          <w:rFonts w:ascii="Times New Roman" w:hAnsi="Times New Roman" w:cs="Times New Roman"/>
          <w:color w:val="000000"/>
          <w:sz w:val="20"/>
          <w:szCs w:val="20"/>
        </w:rPr>
        <w:t xml:space="preserve"> LDO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(35,6%)</w:t>
      </w:r>
      <w:r w:rsidRPr="00546161">
        <w:rPr>
          <w:rFonts w:ascii="Times New Roman" w:hAnsi="Times New Roman" w:cs="Times New Roman"/>
          <w:color w:val="000000"/>
          <w:sz w:val="20"/>
          <w:szCs w:val="20"/>
        </w:rPr>
        <w:t xml:space="preserve"> che riportavano le parole chiave identificate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546161">
        <w:rPr>
          <w:rFonts w:ascii="Times New Roman" w:hAnsi="Times New Roman" w:cs="Times New Roman"/>
          <w:i/>
          <w:iCs/>
          <w:color w:val="000000"/>
          <w:sz w:val="20"/>
          <w:szCs w:val="20"/>
        </w:rPr>
        <w:t>Tab.1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4616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E4AFF">
        <w:rPr>
          <w:rFonts w:ascii="Times New Roman" w:hAnsi="Times New Roman" w:cs="Times New Roman"/>
          <w:color w:val="000000"/>
          <w:sz w:val="20"/>
          <w:szCs w:val="20"/>
        </w:rPr>
        <w:t xml:space="preserve">Per poter sviluppare un algoritmo di elaborazione del linguaggio naturale (NLP) con tecniche di AI, </w:t>
      </w:r>
      <w:r w:rsidR="00301605">
        <w:rPr>
          <w:rFonts w:ascii="Times New Roman" w:hAnsi="Times New Roman" w:cs="Times New Roman"/>
          <w:color w:val="000000"/>
          <w:sz w:val="20"/>
          <w:szCs w:val="20"/>
        </w:rPr>
        <w:t>è stato</w:t>
      </w:r>
      <w:r w:rsidR="009E4AFF" w:rsidRPr="00C16251">
        <w:rPr>
          <w:rFonts w:ascii="Times New Roman" w:hAnsi="Times New Roman" w:cs="Times New Roman"/>
          <w:color w:val="000000"/>
          <w:sz w:val="20"/>
          <w:szCs w:val="20"/>
        </w:rPr>
        <w:t xml:space="preserve">utilizzato un approccio di apprendimento supervisionato, </w:t>
      </w:r>
      <w:r w:rsidR="009E4AFF">
        <w:rPr>
          <w:rFonts w:ascii="Times New Roman" w:hAnsi="Times New Roman" w:cs="Times New Roman"/>
          <w:color w:val="000000"/>
          <w:sz w:val="20"/>
          <w:szCs w:val="20"/>
        </w:rPr>
        <w:t>che prevede un</w:t>
      </w:r>
      <w:r w:rsidR="00301605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9E4AFF" w:rsidRPr="00C16251">
        <w:rPr>
          <w:rFonts w:ascii="Times New Roman" w:hAnsi="Times New Roman" w:cs="Times New Roman"/>
          <w:color w:val="000000"/>
          <w:sz w:val="20"/>
          <w:szCs w:val="20"/>
        </w:rPr>
        <w:t>etichettatura</w:t>
      </w:r>
      <w:r w:rsidR="009E4AFF">
        <w:rPr>
          <w:rFonts w:ascii="Times New Roman" w:hAnsi="Times New Roman" w:cs="Times New Roman"/>
          <w:color w:val="000000"/>
          <w:sz w:val="20"/>
          <w:szCs w:val="20"/>
        </w:rPr>
        <w:t xml:space="preserve"> manuale del database di addestramento</w:t>
      </w:r>
      <w:r w:rsidRPr="0054616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E4AFF">
        <w:rPr>
          <w:rFonts w:ascii="Times New Roman" w:hAnsi="Times New Roman" w:cs="Times New Roman"/>
          <w:color w:val="000000"/>
          <w:sz w:val="20"/>
          <w:szCs w:val="20"/>
        </w:rPr>
        <w:t xml:space="preserve">Questa fase ha permesso di classificare le LDO in tre sottoclassi: “ISC”, “non ISC” o “ISC </w:t>
      </w:r>
      <w:r w:rsidR="009E4AFF" w:rsidRPr="00C16251">
        <w:rPr>
          <w:rFonts w:ascii="Times New Roman" w:hAnsi="Times New Roman" w:cs="Times New Roman"/>
          <w:color w:val="000000"/>
          <w:sz w:val="20"/>
          <w:szCs w:val="20"/>
        </w:rPr>
        <w:t>in precedente ricovero</w:t>
      </w:r>
      <w:r w:rsidR="009E4AFF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="00D0540D">
        <w:rPr>
          <w:rFonts w:ascii="Times New Roman" w:hAnsi="Times New Roman" w:cs="Times New Roman"/>
          <w:color w:val="000000"/>
          <w:sz w:val="20"/>
          <w:szCs w:val="20"/>
        </w:rPr>
        <w:t xml:space="preserve">. Grazie </w:t>
      </w:r>
      <w:r w:rsidR="00051EF6">
        <w:rPr>
          <w:rFonts w:ascii="Times New Roman" w:hAnsi="Times New Roman" w:cs="Times New Roman"/>
          <w:color w:val="000000"/>
          <w:sz w:val="20"/>
          <w:szCs w:val="20"/>
        </w:rPr>
        <w:t>a questo,</w:t>
      </w:r>
      <w:r w:rsidR="00D0540D">
        <w:rPr>
          <w:rFonts w:ascii="Times New Roman" w:hAnsi="Times New Roman" w:cs="Times New Roman"/>
          <w:color w:val="000000"/>
          <w:sz w:val="20"/>
          <w:szCs w:val="20"/>
        </w:rPr>
        <w:t xml:space="preserve"> sarà possibile addestrare un algoritmo </w:t>
      </w:r>
      <w:r w:rsidR="00D0540D" w:rsidRPr="00C16251">
        <w:rPr>
          <w:rFonts w:ascii="Times New Roman" w:hAnsi="Times New Roman" w:cs="Times New Roman"/>
          <w:color w:val="000000"/>
          <w:sz w:val="20"/>
          <w:szCs w:val="20"/>
        </w:rPr>
        <w:t xml:space="preserve">di NLP </w:t>
      </w:r>
      <w:r w:rsidR="00D0540D">
        <w:rPr>
          <w:rFonts w:ascii="Times New Roman" w:hAnsi="Times New Roman" w:cs="Times New Roman"/>
          <w:color w:val="000000"/>
          <w:sz w:val="20"/>
          <w:szCs w:val="20"/>
        </w:rPr>
        <w:t xml:space="preserve">che permetterà di estrarre in tempo reale le ISC sospette, che verranno successivamente validate per valutare sensibilità e specificità del nuovo sistema di sorveglianza automatizzato. </w:t>
      </w:r>
    </w:p>
    <w:p w:rsidR="00546161" w:rsidRDefault="00546161" w:rsidP="00FD3AE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6161">
        <w:rPr>
          <w:rFonts w:ascii="Times New Roman" w:hAnsi="Times New Roman" w:cs="Times New Roman"/>
          <w:color w:val="000000"/>
          <w:sz w:val="20"/>
          <w:szCs w:val="20"/>
        </w:rPr>
        <w:t>I dati relativi alle ISC insorte a 30 giorni dalla dimissione saranno raccolti attraverso programmi di sorveglianza territoriale</w:t>
      </w:r>
      <w:r w:rsidR="00D0540D">
        <w:rPr>
          <w:rFonts w:ascii="Times New Roman" w:hAnsi="Times New Roman" w:cs="Times New Roman"/>
          <w:color w:val="000000"/>
          <w:sz w:val="20"/>
          <w:szCs w:val="20"/>
        </w:rPr>
        <w:t xml:space="preserve">,basati al livello regionale nell’ambito del </w:t>
      </w:r>
      <w:r w:rsidR="00D0540D" w:rsidRPr="00FD3AE8">
        <w:rPr>
          <w:rFonts w:ascii="Times New Roman" w:hAnsi="Times New Roman" w:cs="Times New Roman"/>
          <w:color w:val="000000"/>
          <w:sz w:val="20"/>
          <w:szCs w:val="20"/>
        </w:rPr>
        <w:t xml:space="preserve">Piano nazionale contrasto antibiotico-resistenza </w:t>
      </w:r>
      <w:r w:rsidR="00D0540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D0540D" w:rsidRPr="00FD3AE8">
        <w:rPr>
          <w:rFonts w:ascii="Times New Roman" w:hAnsi="Times New Roman" w:cs="Times New Roman"/>
          <w:color w:val="000000"/>
          <w:sz w:val="20"/>
          <w:szCs w:val="20"/>
        </w:rPr>
        <w:t>PNCAR</w:t>
      </w:r>
      <w:r w:rsidR="00D0540D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546161">
        <w:rPr>
          <w:rFonts w:ascii="Times New Roman" w:hAnsi="Times New Roman" w:cs="Times New Roman"/>
          <w:color w:val="000000"/>
          <w:sz w:val="20"/>
          <w:szCs w:val="20"/>
        </w:rPr>
        <w:t>Una volta ottenuti i risultati, si passerà ad analizzare i dati relativi all’obiettivo secondario per identificare in modo tempestivo i pazienti a rischio e migliorare la gestione post-operatoria.</w:t>
      </w:r>
    </w:p>
    <w:p w:rsidR="00FD3AE8" w:rsidRDefault="00FD3AE8" w:rsidP="00FD3AE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6251" w:rsidRPr="00C16251" w:rsidRDefault="00C16251" w:rsidP="0012151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6A0A" w:rsidRPr="00121511" w:rsidRDefault="00121511" w:rsidP="00121511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215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CONCLUSIONI</w:t>
      </w:r>
    </w:p>
    <w:p w:rsidR="00D0540D" w:rsidRDefault="00D0540D" w:rsidP="0012151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40D">
        <w:rPr>
          <w:rFonts w:ascii="Times New Roman" w:hAnsi="Times New Roman" w:cs="Times New Roman"/>
          <w:color w:val="000000"/>
          <w:sz w:val="20"/>
          <w:szCs w:val="20"/>
        </w:rPr>
        <w:t xml:space="preserve">Il sistema di sorveglianza intra-ospedaliero basato sull’IA </w:t>
      </w:r>
      <w:r>
        <w:rPr>
          <w:rFonts w:ascii="Times New Roman" w:hAnsi="Times New Roman" w:cs="Times New Roman"/>
          <w:color w:val="000000"/>
          <w:sz w:val="20"/>
          <w:szCs w:val="20"/>
        </w:rPr>
        <w:t>potrebbe</w:t>
      </w:r>
      <w:r w:rsidRPr="00D0540D">
        <w:rPr>
          <w:rFonts w:ascii="Times New Roman" w:hAnsi="Times New Roman" w:cs="Times New Roman"/>
          <w:color w:val="000000"/>
          <w:sz w:val="20"/>
          <w:szCs w:val="20"/>
        </w:rPr>
        <w:t xml:space="preserve"> risolvere il problema della mancanza di sorveglianza delle </w:t>
      </w:r>
      <w:r>
        <w:rPr>
          <w:rFonts w:ascii="Times New Roman" w:hAnsi="Times New Roman" w:cs="Times New Roman"/>
          <w:color w:val="000000"/>
          <w:sz w:val="20"/>
          <w:szCs w:val="20"/>
        </w:rPr>
        <w:t>ISC</w:t>
      </w:r>
      <w:r w:rsidRPr="00D0540D">
        <w:rPr>
          <w:rFonts w:ascii="Times New Roman" w:hAnsi="Times New Roman" w:cs="Times New Roman"/>
          <w:color w:val="000000"/>
          <w:sz w:val="20"/>
          <w:szCs w:val="20"/>
        </w:rPr>
        <w:t xml:space="preserve"> e della sottostima dell’incidenza. L’algoritmo può essere perfezionato e testato in altri contesti tramite l’apprendimento federato. Inoltre, l’identificazione dei pazienti ad alto rischio può guidare la personalizzazione delle strategie preventive post-dimissione.</w:t>
      </w:r>
    </w:p>
    <w:p w:rsidR="00D97801" w:rsidRDefault="00D97801" w:rsidP="0012151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2480F" w:rsidRDefault="0002480F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D97801" w:rsidRPr="005D52B7" w:rsidRDefault="00D97801" w:rsidP="00121511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D52B7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GRAFICI E TABELLE</w:t>
      </w:r>
    </w:p>
    <w:p w:rsidR="00D97801" w:rsidRDefault="00D97801" w:rsidP="0012151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5D52B7" w:rsidTr="005D52B7">
        <w:tc>
          <w:tcPr>
            <w:tcW w:w="3209" w:type="dxa"/>
            <w:vAlign w:val="center"/>
          </w:tcPr>
          <w:p w:rsidR="005D52B7" w:rsidRDefault="005D52B7" w:rsidP="005D52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Keywords relative all’intervento chirurgico</w:t>
            </w:r>
          </w:p>
        </w:tc>
        <w:tc>
          <w:tcPr>
            <w:tcW w:w="3209" w:type="dxa"/>
            <w:vMerge w:val="restart"/>
            <w:vAlign w:val="center"/>
          </w:tcPr>
          <w:p w:rsidR="005D52B7" w:rsidRDefault="005D52B7" w:rsidP="005D52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/ AND</w:t>
            </w:r>
          </w:p>
        </w:tc>
        <w:tc>
          <w:tcPr>
            <w:tcW w:w="3210" w:type="dxa"/>
            <w:vAlign w:val="center"/>
          </w:tcPr>
          <w:p w:rsidR="005D52B7" w:rsidRDefault="005D52B7" w:rsidP="005D52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Keywords relative all’infezione</w:t>
            </w:r>
          </w:p>
        </w:tc>
      </w:tr>
      <w:tr w:rsidR="005D52B7" w:rsidTr="005D52B7">
        <w:tc>
          <w:tcPr>
            <w:tcW w:w="3209" w:type="dxa"/>
            <w:vAlign w:val="center"/>
          </w:tcPr>
          <w:p w:rsidR="005D52B7" w:rsidRPr="005D52B7" w:rsidRDefault="005D52B7" w:rsidP="005D52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Intervento chirurgico – Intervento – Impianto – Chirurgi* – Protesi – Ferita – Taglio – Incisione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*scopia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*scopica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-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*scopico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Int*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Chir*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Operat*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Operazione – Asportato – Sezione – Resezione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*plastica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*Embolizzazione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*tomia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escissione – Biopsia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Bioptizzato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revisione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resettore-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*raffia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TURP*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TUIP* – Osteosintesi – TURB* - Impianto – Espianto</w:t>
            </w:r>
          </w:p>
          <w:p w:rsidR="005D52B7" w:rsidRDefault="005D52B7" w:rsidP="005D52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5D52B7" w:rsidRDefault="005D52B7" w:rsidP="005D52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5D52B7" w:rsidRDefault="005D52B7" w:rsidP="005D52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Infezione – Pus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Purulent*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Rosso – Rossore – Febbre – Ascesso – Sepsi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Arrossat*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Settico – SSI – ISC – Edema – Complicanza – Secrezione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Infett*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S.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Aureus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MRSA – MSSA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Mycoplasma-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*cocco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 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Pseudomonas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Escherichia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E.coli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P. Aeruginosa – E.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Faecium-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E.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Faecalis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Ferita Complicata - 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Deiscen*</w:t>
            </w:r>
            <w:proofErr w:type="spellEnd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 </w:t>
            </w:r>
            <w:proofErr w:type="spellStart"/>
            <w:r w:rsidRPr="005D5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Ferit*</w:t>
            </w:r>
            <w:proofErr w:type="spellEnd"/>
          </w:p>
          <w:p w:rsidR="005D52B7" w:rsidRDefault="005D52B7" w:rsidP="005D52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2F0A" w:rsidRDefault="003E2F0A" w:rsidP="0012151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97801" w:rsidRPr="00022BD2" w:rsidRDefault="00D97801" w:rsidP="00121511">
      <w:p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Tab.1</w:t>
      </w:r>
      <w:r w:rsidR="004B41AA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– Keywords utilizzate per l’identificazione di sospett</w:t>
      </w:r>
      <w:r w:rsidR="003E2F0A" w:rsidRPr="00022BD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 ISC</w:t>
      </w:r>
    </w:p>
    <w:sectPr w:rsidR="00D97801" w:rsidRPr="00022BD2" w:rsidSect="00246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08"/>
  <w:hyphenationZone w:val="283"/>
  <w:characterSpacingControl w:val="doNotCompress"/>
  <w:compat/>
  <w:rsids>
    <w:rsidRoot w:val="00545882"/>
    <w:rsid w:val="00021948"/>
    <w:rsid w:val="00022BD2"/>
    <w:rsid w:val="0002480F"/>
    <w:rsid w:val="00051EF6"/>
    <w:rsid w:val="00054B6D"/>
    <w:rsid w:val="0005521E"/>
    <w:rsid w:val="00062ADA"/>
    <w:rsid w:val="000A0702"/>
    <w:rsid w:val="000E2E45"/>
    <w:rsid w:val="000F36C4"/>
    <w:rsid w:val="00121511"/>
    <w:rsid w:val="001474C4"/>
    <w:rsid w:val="001C0B82"/>
    <w:rsid w:val="00246FB1"/>
    <w:rsid w:val="002E103F"/>
    <w:rsid w:val="002E6A0A"/>
    <w:rsid w:val="00301605"/>
    <w:rsid w:val="003E2F0A"/>
    <w:rsid w:val="00442871"/>
    <w:rsid w:val="00460FB4"/>
    <w:rsid w:val="004B41AA"/>
    <w:rsid w:val="004B6B9F"/>
    <w:rsid w:val="004C3850"/>
    <w:rsid w:val="004E4530"/>
    <w:rsid w:val="004E4717"/>
    <w:rsid w:val="0052113E"/>
    <w:rsid w:val="00545882"/>
    <w:rsid w:val="00546161"/>
    <w:rsid w:val="005541C3"/>
    <w:rsid w:val="005D31F6"/>
    <w:rsid w:val="005D52B7"/>
    <w:rsid w:val="005D77AE"/>
    <w:rsid w:val="005E4283"/>
    <w:rsid w:val="00774F39"/>
    <w:rsid w:val="008448F1"/>
    <w:rsid w:val="00870275"/>
    <w:rsid w:val="0088414D"/>
    <w:rsid w:val="008C4C02"/>
    <w:rsid w:val="008D3705"/>
    <w:rsid w:val="008F1E8A"/>
    <w:rsid w:val="009002DA"/>
    <w:rsid w:val="00975301"/>
    <w:rsid w:val="009E4AFF"/>
    <w:rsid w:val="00A5540F"/>
    <w:rsid w:val="00A7173A"/>
    <w:rsid w:val="00A76831"/>
    <w:rsid w:val="00A93359"/>
    <w:rsid w:val="00A95A3F"/>
    <w:rsid w:val="00AA1FC7"/>
    <w:rsid w:val="00AF2DF2"/>
    <w:rsid w:val="00B00F6B"/>
    <w:rsid w:val="00B222FA"/>
    <w:rsid w:val="00B55F4A"/>
    <w:rsid w:val="00B82940"/>
    <w:rsid w:val="00C16251"/>
    <w:rsid w:val="00CB75F6"/>
    <w:rsid w:val="00CB796C"/>
    <w:rsid w:val="00CD4AB0"/>
    <w:rsid w:val="00CD617B"/>
    <w:rsid w:val="00D0540D"/>
    <w:rsid w:val="00D13741"/>
    <w:rsid w:val="00D2161C"/>
    <w:rsid w:val="00D97801"/>
    <w:rsid w:val="00DA4200"/>
    <w:rsid w:val="00DE7DFF"/>
    <w:rsid w:val="00E70349"/>
    <w:rsid w:val="00E710F5"/>
    <w:rsid w:val="00F06ED3"/>
    <w:rsid w:val="00FD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45882"/>
    <w:rPr>
      <w:color w:val="0000FF"/>
      <w:u w:val="single"/>
    </w:rPr>
  </w:style>
  <w:style w:type="paragraph" w:styleId="Revisione">
    <w:name w:val="Revision"/>
    <w:hidden/>
    <w:uiPriority w:val="99"/>
    <w:semiHidden/>
    <w:rsid w:val="004B6B9F"/>
  </w:style>
  <w:style w:type="table" w:styleId="Grigliatabella">
    <w:name w:val="Table Grid"/>
    <w:basedOn w:val="Tabellanormale"/>
    <w:uiPriority w:val="39"/>
    <w:rsid w:val="005D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Zotti</dc:creator>
  <cp:keywords/>
  <dc:description/>
  <cp:lastModifiedBy>Utente</cp:lastModifiedBy>
  <cp:revision>32</cp:revision>
  <dcterms:created xsi:type="dcterms:W3CDTF">2023-04-26T08:22:00Z</dcterms:created>
  <dcterms:modified xsi:type="dcterms:W3CDTF">2023-05-25T09:51:00Z</dcterms:modified>
</cp:coreProperties>
</file>